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Danielle Okafor-Whitman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Principal Solutions Architect</w:t>
      </w:r>
    </w:p>
    <w:p>
      <w:pPr>
        <w:pStyle w:val="Contact"/>
        <w:jc w:val="left"/>
      </w:pPr>
      <w:r>
        <w:t xml:space="preserve">Chicago, IL  |  danielle.okaforwhitman@email.example  |  (312) 555-0174</w:t>
      </w:r>
    </w:p>
    <w:p>
      <w:pPr>
        <w:pStyle w:val="SectionHeading"/>
      </w:pPr>
      <w:r>
        <w:t xml:space="preserve">Professional Summary</w:t>
      </w:r>
    </w:p>
    <w:p>
      <w:r>
        <w:t xml:space="preserve">Principal solutions architect with 15 years designing and delivering enterprise platforms in insurance, logistics and banking. Leads architecture for multi-year cloud migrations, chairs design review boards and coaches architects across delivery teams. Known for trade-off documents that executives read, and for keeping security, cost and delivery dates in the same conversation.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Principal Solutions Architect</w:t>
      </w:r>
      <w:r>
        <w:tab/>
      </w:r>
      <w:r>
        <w:rPr>
          <w:i/>
        </w:rPr>
        <w:t xml:space="preserve">Apr 2020 — Present</w:t>
      </w:r>
    </w:p>
    <w:p>
      <w:pPr>
        <w:keepNext/>
        <w:spacing w:after="40"/>
      </w:pPr>
      <w:r>
        <w:rPr>
          <w:i/>
          <w:color w:val="475569"/>
        </w:rPr>
        <w:t xml:space="preserve">Lakefront Mutual Insurance Group, Chicago, IL</w:t>
      </w:r>
    </w:p>
    <w:p>
      <w:pPr>
        <w:pStyle w:val="ListBullet"/>
        <w:numPr>
          <w:ilvl w:val="0"/>
          <w:numId w:val="1"/>
        </w:numPr>
      </w:pPr>
      <w:r>
        <w:t xml:space="preserve">Own the target architecture for moving 140 policy, claims and billing applications to AWS, sequencing waves by dependency and risk with program leadership.</w:t>
      </w:r>
    </w:p>
    <w:p>
      <w:pPr>
        <w:pStyle w:val="ListBullet"/>
        <w:numPr>
          <w:ilvl w:val="0"/>
          <w:numId w:val="1"/>
        </w:numPr>
      </w:pPr>
      <w:r>
        <w:t xml:space="preserve">Chair a weekly design review board that approves new solutions against published standards, using architecture decision records so reasoning survives team changes.</w:t>
      </w:r>
    </w:p>
    <w:p>
      <w:pPr>
        <w:pStyle w:val="ListBullet"/>
        <w:numPr>
          <w:ilvl w:val="0"/>
          <w:numId w:val="1"/>
        </w:numPr>
      </w:pPr>
      <w:r>
        <w:t xml:space="preserve">Designed a multi-region claims platform with defined recovery targets, then ran failover tests that regulators and the audit committee accepted as evidence.</w:t>
      </w:r>
    </w:p>
    <w:p>
      <w:pPr>
        <w:pStyle w:val="ListBullet"/>
        <w:numPr>
          <w:ilvl w:val="0"/>
          <w:numId w:val="1"/>
        </w:numPr>
      </w:pPr>
      <w:r>
        <w:t xml:space="preserve">Mentor six solutions architects, pairing them on customer workshops and reviewing their documents until each could run a design review on their own.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Lead Solutions Architect</w:t>
      </w:r>
      <w:r>
        <w:tab/>
      </w:r>
      <w:r>
        <w:rPr>
          <w:i/>
        </w:rPr>
        <w:t xml:space="preserve">Jan 2015 — Mar 2020</w:t>
      </w:r>
    </w:p>
    <w:p>
      <w:pPr>
        <w:keepNext/>
        <w:spacing w:after="40"/>
      </w:pPr>
      <w:r>
        <w:rPr>
          <w:i/>
          <w:color w:val="475569"/>
        </w:rPr>
        <w:t xml:space="preserve">Prairie Freight Technologies, Milwaukee, WI</w:t>
      </w:r>
    </w:p>
    <w:p>
      <w:pPr>
        <w:pStyle w:val="ListBullet"/>
        <w:numPr>
          <w:ilvl w:val="0"/>
          <w:numId w:val="1"/>
        </w:numPr>
      </w:pPr>
      <w:r>
        <w:t xml:space="preserve">Led architecture for replacing a mainframe dispatch system with containerized services and an event backbone, delivered in phases with no lost shipments at cutover.</w:t>
      </w:r>
    </w:p>
    <w:p>
      <w:pPr>
        <w:pStyle w:val="ListBullet"/>
        <w:numPr>
          <w:ilvl w:val="0"/>
          <w:numId w:val="1"/>
        </w:numPr>
      </w:pPr>
      <w:r>
        <w:t xml:space="preserve">Ran vendor evaluations for telematics and routing platforms, scoring options on integration effort, lock-in and five-year cost before contract negotiation.</w:t>
      </w:r>
    </w:p>
    <w:p>
      <w:pPr>
        <w:pStyle w:val="ListBullet"/>
        <w:numPr>
          <w:ilvl w:val="0"/>
          <w:numId w:val="1"/>
        </w:numPr>
      </w:pPr>
      <w:r>
        <w:t xml:space="preserve">Defined API standards and an integration gateway that let carriers and shippers connect without custom builds, cutting partner onboarding from months to weeks.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Systems Architect</w:t>
      </w:r>
      <w:r>
        <w:tab/>
      </w:r>
      <w:r>
        <w:rPr>
          <w:i/>
        </w:rPr>
        <w:t xml:space="preserve">Aug 2010 — Dec 2014</w:t>
      </w:r>
    </w:p>
    <w:p>
      <w:pPr>
        <w:keepNext/>
        <w:spacing w:after="40"/>
      </w:pPr>
      <w:r>
        <w:rPr>
          <w:i/>
          <w:color w:val="475569"/>
        </w:rPr>
        <w:t xml:space="preserve">Heartland Community Bancorp, Des Moines, IA</w:t>
      </w:r>
    </w:p>
    <w:p>
      <w:pPr>
        <w:pStyle w:val="ListBullet"/>
        <w:numPr>
          <w:ilvl w:val="0"/>
          <w:numId w:val="1"/>
        </w:numPr>
      </w:pPr>
      <w:r>
        <w:t xml:space="preserve">Designed the online banking integration layer between core banking, card processing and fraud screening, documenting failure modes for operations.</w:t>
      </w:r>
    </w:p>
    <w:p>
      <w:pPr>
        <w:pStyle w:val="ListBullet"/>
        <w:numPr>
          <w:ilvl w:val="0"/>
          <w:numId w:val="1"/>
        </w:numPr>
      </w:pPr>
      <w:r>
        <w:t xml:space="preserve">Produced build-versus-buy analyses for loan origination and document imaging that guided capital planning for two budget cycles.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MS, Information Systems</w:t>
      </w:r>
      <w:r>
        <w:t xml:space="preserve">, Great Lakes Polytechnic University</w:t>
      </w:r>
      <w:r>
        <w:tab/>
      </w:r>
      <w:r>
        <w:rPr>
          <w:i/>
        </w:rPr>
        <w:t xml:space="preserve">2010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Mississippi Valley College</w:t>
      </w:r>
      <w:r>
        <w:tab/>
      </w:r>
      <w:r>
        <w:rPr>
          <w:i/>
        </w:rPr>
        <w:t xml:space="preserve">2008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Solutions Architect – Professional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Solutions Architect Expert</w:t>
      </w:r>
    </w:p>
    <w:p>
      <w:pPr>
        <w:pStyle w:val="ListBullet"/>
        <w:numPr>
          <w:ilvl w:val="0"/>
          <w:numId w:val="1"/>
        </w:numPr>
      </w:pPr>
      <w:r>
        <w:t xml:space="preserve">TOGAF Enterprise Architecture Practitioner</w:t>
      </w:r>
    </w:p>
    <w:p>
      <w:pPr>
        <w:pStyle w:val="SectionHeading"/>
      </w:pPr>
      <w:r>
        <w:t xml:space="preserve">Skills</w:t>
      </w:r>
    </w:p>
    <w:p>
      <w:r>
        <w:t xml:space="preserve">Enterprise solution architecture, AWS and Azure, Application modernization, Data platform design, Security and zero trust, Resilience and DR (RTO/RPO), Architecture governance, TOGAF, Vendor evaluation, Executive communication, Architect mentoring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8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2"/>
      <w:szCs w:val="22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Solutions Architect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